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E02118" w:rsidP="0011258B">
      <w:pPr>
        <w:bidi/>
        <w:jc w:val="center"/>
        <w:rPr>
          <w:rtl/>
          <w:lang w:bidi="fa-IR"/>
        </w:rPr>
      </w:pPr>
      <w:r>
        <w:rPr>
          <w:rFonts w:hint="cs"/>
          <w:rtl/>
          <w:lang w:bidi="fa-IR"/>
        </w:rPr>
        <w:t>خارج اصول32</w:t>
      </w:r>
    </w:p>
    <w:p w:rsidR="00E02118" w:rsidRDefault="00E02118" w:rsidP="0011258B">
      <w:pPr>
        <w:pBdr>
          <w:bottom w:val="single" w:sz="12" w:space="1" w:color="auto"/>
        </w:pBdr>
        <w:bidi/>
        <w:jc w:val="center"/>
        <w:rPr>
          <w:rtl/>
          <w:lang w:bidi="fa-IR"/>
        </w:rPr>
      </w:pPr>
      <w:r>
        <w:rPr>
          <w:rFonts w:hint="cs"/>
          <w:rtl/>
          <w:lang w:bidi="fa-IR"/>
        </w:rPr>
        <w:t>شنبه 2/ 9/ 98</w:t>
      </w:r>
    </w:p>
    <w:p w:rsidR="00E02118" w:rsidRPr="0011258B" w:rsidRDefault="00E02118" w:rsidP="0011258B">
      <w:pPr>
        <w:pBdr>
          <w:bottom w:val="single" w:sz="12" w:space="1" w:color="auto"/>
        </w:pBdr>
        <w:bidi/>
        <w:jc w:val="center"/>
        <w:rPr>
          <w:color w:val="FF0000"/>
          <w:rtl/>
          <w:lang w:bidi="fa-IR"/>
        </w:rPr>
      </w:pPr>
      <w:r w:rsidRPr="0011258B">
        <w:rPr>
          <w:rFonts w:hint="cs"/>
          <w:color w:val="FF0000"/>
          <w:rtl/>
          <w:lang w:bidi="fa-IR"/>
        </w:rPr>
        <w:t>*اقسام واجب*</w:t>
      </w:r>
    </w:p>
    <w:p w:rsidR="00E02118" w:rsidRDefault="00CE1988" w:rsidP="006D1D82">
      <w:pPr>
        <w:bidi/>
        <w:rPr>
          <w:rtl/>
          <w:lang w:bidi="fa-IR"/>
        </w:rPr>
      </w:pPr>
      <w:r>
        <w:rPr>
          <w:rFonts w:hint="cs"/>
          <w:rtl/>
          <w:lang w:bidi="fa-IR"/>
        </w:rPr>
        <w:t xml:space="preserve">کلام در فرمایش </w:t>
      </w:r>
      <w:r w:rsidR="00321D58">
        <w:rPr>
          <w:rFonts w:hint="cs"/>
          <w:rtl/>
          <w:lang w:bidi="fa-IR"/>
        </w:rPr>
        <w:t>مرحوم شاهرودی بود که مطلبی را از</w:t>
      </w:r>
      <w:r>
        <w:rPr>
          <w:rFonts w:hint="cs"/>
          <w:rtl/>
          <w:lang w:bidi="fa-IR"/>
        </w:rPr>
        <w:t xml:space="preserve"> کسی نقل فرمود به اینکه </w:t>
      </w:r>
      <w:r w:rsidR="00F87382">
        <w:rPr>
          <w:rFonts w:hint="cs"/>
          <w:rtl/>
          <w:lang w:bidi="fa-IR"/>
        </w:rPr>
        <w:t>اطلاق ماد</w:t>
      </w:r>
      <w:r w:rsidR="00321D58">
        <w:rPr>
          <w:rFonts w:hint="cs"/>
          <w:rtl/>
          <w:lang w:bidi="fa-IR"/>
        </w:rPr>
        <w:t>ّ</w:t>
      </w:r>
      <w:r w:rsidR="00F87382">
        <w:rPr>
          <w:rFonts w:hint="cs"/>
          <w:rtl/>
          <w:lang w:bidi="fa-IR"/>
        </w:rPr>
        <w:t>ه دو اثر دارد؛ با تقیید</w:t>
      </w:r>
      <w:r w:rsidR="006D1D82">
        <w:rPr>
          <w:rFonts w:hint="cs"/>
          <w:rtl/>
          <w:lang w:bidi="fa-IR"/>
        </w:rPr>
        <w:t xml:space="preserve">، </w:t>
      </w:r>
      <w:r w:rsidR="00F87382">
        <w:rPr>
          <w:rFonts w:hint="cs"/>
          <w:rtl/>
          <w:lang w:bidi="fa-IR"/>
        </w:rPr>
        <w:t>یکی از بین می رود ولی دیگری باقی می ماند و با اطلاق هیئت تعارض و تساقط می کنند.</w:t>
      </w:r>
    </w:p>
    <w:p w:rsidR="00402BA5" w:rsidRDefault="00402BA5" w:rsidP="00402BA5">
      <w:pPr>
        <w:bidi/>
        <w:rPr>
          <w:rtl/>
          <w:lang w:bidi="fa-IR"/>
        </w:rPr>
      </w:pPr>
      <w:r>
        <w:rPr>
          <w:rFonts w:hint="cs"/>
          <w:rtl/>
          <w:lang w:bidi="fa-IR"/>
        </w:rPr>
        <w:t xml:space="preserve">عبارت عربی ایشان را در جلسه ی </w:t>
      </w:r>
      <w:r w:rsidR="00321D58">
        <w:rPr>
          <w:rFonts w:hint="cs"/>
          <w:rtl/>
          <w:lang w:bidi="fa-IR"/>
        </w:rPr>
        <w:t>قبل عرض کردیم؛ ترجمه:</w:t>
      </w:r>
    </w:p>
    <w:p w:rsidR="00CE1988" w:rsidRDefault="00CE1988" w:rsidP="00321D58">
      <w:pPr>
        <w:bidi/>
        <w:rPr>
          <w:rtl/>
          <w:lang w:bidi="fa-IR"/>
        </w:rPr>
      </w:pPr>
      <w:r>
        <w:rPr>
          <w:rFonts w:hint="cs"/>
          <w:rtl/>
          <w:lang w:bidi="fa-IR"/>
        </w:rPr>
        <w:t>اطلاق ماد</w:t>
      </w:r>
      <w:r w:rsidR="00321D58">
        <w:rPr>
          <w:rFonts w:hint="cs"/>
          <w:rtl/>
          <w:lang w:bidi="fa-IR"/>
        </w:rPr>
        <w:t>ّ</w:t>
      </w:r>
      <w:r>
        <w:rPr>
          <w:rFonts w:hint="cs"/>
          <w:rtl/>
          <w:lang w:bidi="fa-IR"/>
        </w:rPr>
        <w:t xml:space="preserve">ه دو اثر دارد: </w:t>
      </w:r>
      <w:r w:rsidR="00321D58">
        <w:rPr>
          <w:rFonts w:hint="cs"/>
          <w:rtl/>
          <w:lang w:bidi="fa-IR"/>
        </w:rPr>
        <w:t>«</w:t>
      </w:r>
      <w:r w:rsidR="00F87382">
        <w:rPr>
          <w:rFonts w:hint="cs"/>
          <w:rtl/>
          <w:lang w:bidi="fa-IR"/>
        </w:rPr>
        <w:t>اکتفاء به</w:t>
      </w:r>
      <w:r w:rsidR="00321D58">
        <w:rPr>
          <w:rFonts w:hint="cs"/>
          <w:rtl/>
          <w:lang w:bidi="fa-IR"/>
        </w:rPr>
        <w:t xml:space="preserve"> فرد</w:t>
      </w:r>
      <w:r w:rsidR="00F87382">
        <w:rPr>
          <w:rFonts w:hint="cs"/>
          <w:rtl/>
          <w:lang w:bidi="fa-IR"/>
        </w:rPr>
        <w:t xml:space="preserve"> فاقد قید</w:t>
      </w:r>
      <w:r w:rsidR="00321D58">
        <w:rPr>
          <w:rFonts w:hint="cs"/>
          <w:rtl/>
          <w:lang w:bidi="fa-IR"/>
        </w:rPr>
        <w:t>»</w:t>
      </w:r>
      <w:r w:rsidR="00F87382">
        <w:rPr>
          <w:rFonts w:hint="cs"/>
          <w:rtl/>
          <w:lang w:bidi="fa-IR"/>
        </w:rPr>
        <w:t xml:space="preserve"> و </w:t>
      </w:r>
      <w:r w:rsidR="00321D58">
        <w:rPr>
          <w:rFonts w:hint="cs"/>
          <w:rtl/>
          <w:lang w:bidi="fa-IR"/>
        </w:rPr>
        <w:t xml:space="preserve">«وجوب </w:t>
      </w:r>
      <w:r w:rsidR="00F87382">
        <w:rPr>
          <w:rFonts w:hint="cs"/>
          <w:rtl/>
          <w:lang w:bidi="fa-IR"/>
        </w:rPr>
        <w:t>تحصیل قید</w:t>
      </w:r>
      <w:r w:rsidR="00321D58">
        <w:rPr>
          <w:rFonts w:hint="cs"/>
          <w:rtl/>
          <w:lang w:bidi="fa-IR"/>
        </w:rPr>
        <w:t>»</w:t>
      </w:r>
      <w:r w:rsidR="00F87382">
        <w:rPr>
          <w:rFonts w:hint="cs"/>
          <w:rtl/>
          <w:lang w:bidi="fa-IR"/>
        </w:rPr>
        <w:t xml:space="preserve"> </w:t>
      </w:r>
      <w:r w:rsidR="00321D58">
        <w:rPr>
          <w:rFonts w:hint="cs"/>
          <w:rtl/>
          <w:lang w:bidi="fa-IR"/>
        </w:rPr>
        <w:t>اما اثر اوّل</w:t>
      </w:r>
      <w:r>
        <w:rPr>
          <w:rFonts w:hint="cs"/>
          <w:rtl/>
          <w:lang w:bidi="fa-IR"/>
        </w:rPr>
        <w:t xml:space="preserve"> با تقیید ماد</w:t>
      </w:r>
      <w:r w:rsidR="00321D58">
        <w:rPr>
          <w:rFonts w:hint="cs"/>
          <w:rtl/>
          <w:lang w:bidi="fa-IR"/>
        </w:rPr>
        <w:t>ّ</w:t>
      </w:r>
      <w:r w:rsidR="00782CF5">
        <w:rPr>
          <w:rFonts w:hint="cs"/>
          <w:rtl/>
          <w:lang w:bidi="fa-IR"/>
        </w:rPr>
        <w:t>ه از بین می رود لذا</w:t>
      </w:r>
      <w:r>
        <w:rPr>
          <w:rFonts w:hint="cs"/>
          <w:rtl/>
          <w:lang w:bidi="fa-IR"/>
        </w:rPr>
        <w:t xml:space="preserve"> اگر مکل</w:t>
      </w:r>
      <w:r w:rsidR="00321D58">
        <w:rPr>
          <w:rFonts w:hint="cs"/>
          <w:rtl/>
          <w:lang w:bidi="fa-IR"/>
        </w:rPr>
        <w:t>ّ</w:t>
      </w:r>
      <w:r>
        <w:rPr>
          <w:rFonts w:hint="cs"/>
          <w:rtl/>
          <w:lang w:bidi="fa-IR"/>
        </w:rPr>
        <w:t>ف مثلا</w:t>
      </w:r>
      <w:r w:rsidR="00321D58">
        <w:rPr>
          <w:rFonts w:hint="cs"/>
          <w:rtl/>
          <w:lang w:bidi="fa-IR"/>
        </w:rPr>
        <w:t>ً</w:t>
      </w:r>
      <w:r>
        <w:rPr>
          <w:rFonts w:hint="cs"/>
          <w:rtl/>
          <w:lang w:bidi="fa-IR"/>
        </w:rPr>
        <w:t xml:space="preserve"> حج</w:t>
      </w:r>
      <w:r w:rsidR="00321D58">
        <w:rPr>
          <w:rFonts w:hint="cs"/>
          <w:rtl/>
          <w:lang w:bidi="fa-IR"/>
        </w:rPr>
        <w:t>ّ</w:t>
      </w:r>
      <w:r>
        <w:rPr>
          <w:rFonts w:hint="cs"/>
          <w:rtl/>
          <w:lang w:bidi="fa-IR"/>
        </w:rPr>
        <w:t xml:space="preserve"> بدون استطاعت انجام دهد، مجزی نیست زیرا یا امری برای او نیامده </w:t>
      </w:r>
      <w:r w:rsidR="006D1D82">
        <w:rPr>
          <w:rFonts w:hint="cs"/>
          <w:rtl/>
          <w:lang w:bidi="fa-IR"/>
        </w:rPr>
        <w:t>است-</w:t>
      </w:r>
      <w:r w:rsidR="00321D58">
        <w:rPr>
          <w:rFonts w:hint="cs"/>
          <w:rtl/>
          <w:lang w:bidi="fa-IR"/>
        </w:rPr>
        <w:t>در صورتی که قید، قید هیئت باشد</w:t>
      </w:r>
      <w:r w:rsidR="006D1D82">
        <w:rPr>
          <w:rFonts w:hint="cs"/>
          <w:rtl/>
          <w:lang w:bidi="fa-IR"/>
        </w:rPr>
        <w:t>-</w:t>
      </w:r>
      <w:r w:rsidR="005526C1">
        <w:rPr>
          <w:rFonts w:hint="cs"/>
          <w:rtl/>
          <w:lang w:bidi="fa-IR"/>
        </w:rPr>
        <w:t>لذا</w:t>
      </w:r>
      <w:r w:rsidR="00321D58">
        <w:rPr>
          <w:rFonts w:hint="cs"/>
          <w:rtl/>
          <w:lang w:bidi="fa-IR"/>
        </w:rPr>
        <w:t xml:space="preserve"> این حجّ</w:t>
      </w:r>
      <w:r w:rsidR="005526C1">
        <w:rPr>
          <w:rFonts w:hint="cs"/>
          <w:rtl/>
          <w:lang w:bidi="fa-IR"/>
        </w:rPr>
        <w:t xml:space="preserve"> تخص</w:t>
      </w:r>
      <w:r w:rsidR="00321D58">
        <w:rPr>
          <w:rFonts w:hint="cs"/>
          <w:rtl/>
          <w:lang w:bidi="fa-IR"/>
        </w:rPr>
        <w:t>ّ</w:t>
      </w:r>
      <w:r w:rsidR="005526C1">
        <w:rPr>
          <w:rFonts w:hint="cs"/>
          <w:rtl/>
          <w:lang w:bidi="fa-IR"/>
        </w:rPr>
        <w:t>صا</w:t>
      </w:r>
      <w:r w:rsidR="00321D58">
        <w:rPr>
          <w:rFonts w:hint="cs"/>
          <w:rtl/>
          <w:lang w:bidi="fa-IR"/>
        </w:rPr>
        <w:t>ً</w:t>
      </w:r>
      <w:r w:rsidR="005526C1">
        <w:rPr>
          <w:rFonts w:hint="cs"/>
          <w:rtl/>
          <w:lang w:bidi="fa-IR"/>
        </w:rPr>
        <w:t xml:space="preserve"> از حج</w:t>
      </w:r>
      <w:r w:rsidR="00321D58">
        <w:rPr>
          <w:rFonts w:hint="cs"/>
          <w:rtl/>
          <w:lang w:bidi="fa-IR"/>
        </w:rPr>
        <w:t>ّ</w:t>
      </w:r>
      <w:r w:rsidR="005526C1">
        <w:rPr>
          <w:rFonts w:hint="cs"/>
          <w:rtl/>
          <w:lang w:bidi="fa-IR"/>
        </w:rPr>
        <w:t xml:space="preserve"> واجب خارج است؛</w:t>
      </w:r>
      <w:r>
        <w:rPr>
          <w:rFonts w:hint="cs"/>
          <w:rtl/>
          <w:lang w:bidi="fa-IR"/>
        </w:rPr>
        <w:t xml:space="preserve"> یا حج</w:t>
      </w:r>
      <w:r w:rsidR="00321D58">
        <w:rPr>
          <w:rFonts w:hint="cs"/>
          <w:rtl/>
          <w:lang w:bidi="fa-IR"/>
        </w:rPr>
        <w:t>ّ</w:t>
      </w:r>
      <w:r>
        <w:rPr>
          <w:rFonts w:hint="cs"/>
          <w:rtl/>
          <w:lang w:bidi="fa-IR"/>
        </w:rPr>
        <w:t>ی انجام داده که فاقد شرط وجوب است لذا تخصیصا</w:t>
      </w:r>
      <w:r w:rsidR="00321D58">
        <w:rPr>
          <w:rFonts w:hint="cs"/>
          <w:rtl/>
          <w:lang w:bidi="fa-IR"/>
        </w:rPr>
        <w:t>ً</w:t>
      </w:r>
      <w:r>
        <w:rPr>
          <w:rFonts w:hint="cs"/>
          <w:rtl/>
          <w:lang w:bidi="fa-IR"/>
        </w:rPr>
        <w:t xml:space="preserve"> از حج</w:t>
      </w:r>
      <w:r w:rsidR="00321D58">
        <w:rPr>
          <w:rFonts w:hint="cs"/>
          <w:rtl/>
          <w:lang w:bidi="fa-IR"/>
        </w:rPr>
        <w:t>ّ</w:t>
      </w:r>
      <w:r>
        <w:rPr>
          <w:rFonts w:hint="cs"/>
          <w:rtl/>
          <w:lang w:bidi="fa-IR"/>
        </w:rPr>
        <w:t xml:space="preserve"> واجب خارج است</w:t>
      </w:r>
      <w:r w:rsidR="005526C1">
        <w:rPr>
          <w:rFonts w:hint="cs"/>
          <w:rtl/>
          <w:lang w:bidi="fa-IR"/>
        </w:rPr>
        <w:t>.</w:t>
      </w:r>
    </w:p>
    <w:p w:rsidR="000503F9" w:rsidRPr="00DC1546" w:rsidRDefault="000503F9" w:rsidP="00402BA5">
      <w:pPr>
        <w:bidi/>
        <w:rPr>
          <w:color w:val="0070C0"/>
          <w:rtl/>
          <w:lang w:bidi="fa-IR"/>
        </w:rPr>
      </w:pPr>
      <w:r w:rsidRPr="00DC1546">
        <w:rPr>
          <w:rFonts w:hint="cs"/>
          <w:color w:val="0070C0"/>
          <w:rtl/>
          <w:lang w:bidi="fa-IR"/>
        </w:rPr>
        <w:t>توضیح</w:t>
      </w:r>
    </w:p>
    <w:p w:rsidR="006D1D82" w:rsidRDefault="00321D58" w:rsidP="006D1D82">
      <w:pPr>
        <w:bidi/>
        <w:rPr>
          <w:rtl/>
          <w:lang w:bidi="fa-IR"/>
        </w:rPr>
      </w:pPr>
      <w:r>
        <w:rPr>
          <w:rFonts w:hint="cs"/>
          <w:rtl/>
          <w:lang w:bidi="fa-IR"/>
        </w:rPr>
        <w:t>این مد</w:t>
      </w:r>
      <w:r w:rsidR="006D1D82">
        <w:rPr>
          <w:rFonts w:hint="cs"/>
          <w:rtl/>
          <w:lang w:bidi="fa-IR"/>
        </w:rPr>
        <w:t>ّ</w:t>
      </w:r>
      <w:r>
        <w:rPr>
          <w:rFonts w:hint="cs"/>
          <w:rtl/>
          <w:lang w:bidi="fa-IR"/>
        </w:rPr>
        <w:t>عی می گوید: اگر ماد</w:t>
      </w:r>
      <w:r w:rsidR="006D1D82">
        <w:rPr>
          <w:rFonts w:hint="cs"/>
          <w:rtl/>
          <w:lang w:bidi="fa-IR"/>
        </w:rPr>
        <w:t>ّ</w:t>
      </w:r>
      <w:r>
        <w:rPr>
          <w:rFonts w:hint="cs"/>
          <w:rtl/>
          <w:lang w:bidi="fa-IR"/>
        </w:rPr>
        <w:t>ه مطلق باشد، اطلاق ماد</w:t>
      </w:r>
      <w:r w:rsidR="006D1D82">
        <w:rPr>
          <w:rFonts w:hint="cs"/>
          <w:rtl/>
          <w:lang w:bidi="fa-IR"/>
        </w:rPr>
        <w:t>ّ</w:t>
      </w:r>
      <w:r>
        <w:rPr>
          <w:rFonts w:hint="cs"/>
          <w:rtl/>
          <w:lang w:bidi="fa-IR"/>
        </w:rPr>
        <w:t>ه دو اثر دارد: اول اینکه فرد فاقد شرط مجزی است؛ واگر مقی</w:t>
      </w:r>
      <w:r w:rsidR="006D1D82">
        <w:rPr>
          <w:rFonts w:hint="cs"/>
          <w:rtl/>
          <w:lang w:bidi="fa-IR"/>
        </w:rPr>
        <w:t>ّ</w:t>
      </w:r>
      <w:r>
        <w:rPr>
          <w:rFonts w:hint="cs"/>
          <w:rtl/>
          <w:lang w:bidi="fa-IR"/>
        </w:rPr>
        <w:t>د باشد، مجزی نیست؛ حال تقیید ماد</w:t>
      </w:r>
      <w:r w:rsidR="006D1D82">
        <w:rPr>
          <w:rFonts w:hint="cs"/>
          <w:rtl/>
          <w:lang w:bidi="fa-IR"/>
        </w:rPr>
        <w:t>ّ</w:t>
      </w:r>
      <w:r>
        <w:rPr>
          <w:rFonts w:hint="cs"/>
          <w:rtl/>
          <w:lang w:bidi="fa-IR"/>
        </w:rPr>
        <w:t>ه دو نوع است: یا قید،</w:t>
      </w:r>
      <w:r w:rsidR="003833B5">
        <w:rPr>
          <w:rFonts w:hint="cs"/>
          <w:rtl/>
          <w:lang w:bidi="fa-IR"/>
        </w:rPr>
        <w:t xml:space="preserve"> قید هیئت است و یا قید ماد</w:t>
      </w:r>
      <w:r w:rsidR="006D1D82">
        <w:rPr>
          <w:rFonts w:hint="cs"/>
          <w:rtl/>
          <w:lang w:bidi="fa-IR"/>
        </w:rPr>
        <w:t>ّ</w:t>
      </w:r>
      <w:r w:rsidR="003833B5">
        <w:rPr>
          <w:rFonts w:hint="cs"/>
          <w:rtl/>
          <w:lang w:bidi="fa-IR"/>
        </w:rPr>
        <w:t xml:space="preserve">ه؛ درمانحن فیه نمی دانیم قید کدام است ولی در هر دو صورت، </w:t>
      </w:r>
      <w:r w:rsidR="0089789C">
        <w:rPr>
          <w:rFonts w:hint="cs"/>
          <w:rtl/>
          <w:lang w:bidi="fa-IR"/>
        </w:rPr>
        <w:t>اثر او</w:t>
      </w:r>
      <w:r w:rsidR="006D1D82">
        <w:rPr>
          <w:rFonts w:hint="cs"/>
          <w:rtl/>
          <w:lang w:bidi="fa-IR"/>
        </w:rPr>
        <w:t>ّ</w:t>
      </w:r>
      <w:r w:rsidR="0089789C">
        <w:rPr>
          <w:rFonts w:hint="cs"/>
          <w:rtl/>
          <w:lang w:bidi="fa-IR"/>
        </w:rPr>
        <w:t>ل منتفی است</w:t>
      </w:r>
      <w:r w:rsidR="0004727D">
        <w:rPr>
          <w:rFonts w:hint="cs"/>
          <w:rtl/>
          <w:lang w:bidi="fa-IR"/>
        </w:rPr>
        <w:t xml:space="preserve"> یعنی حج</w:t>
      </w:r>
      <w:r w:rsidR="006D1D82">
        <w:rPr>
          <w:rFonts w:hint="cs"/>
          <w:rtl/>
          <w:lang w:bidi="fa-IR"/>
        </w:rPr>
        <w:t>ّ</w:t>
      </w:r>
    </w:p>
    <w:p w:rsidR="005D6D29" w:rsidRDefault="0004727D" w:rsidP="006D1D82">
      <w:pPr>
        <w:bidi/>
        <w:rPr>
          <w:rtl/>
          <w:lang w:bidi="fa-IR"/>
        </w:rPr>
      </w:pPr>
      <w:r>
        <w:rPr>
          <w:rFonts w:hint="cs"/>
          <w:rtl/>
          <w:lang w:bidi="fa-IR"/>
        </w:rPr>
        <w:t xml:space="preserve"> بدون استطاعت </w:t>
      </w:r>
      <w:r w:rsidR="006D1D82">
        <w:rPr>
          <w:rFonts w:hint="cs"/>
          <w:rtl/>
          <w:lang w:bidi="fa-IR"/>
        </w:rPr>
        <w:t>م</w:t>
      </w:r>
      <w:r>
        <w:rPr>
          <w:rFonts w:hint="cs"/>
          <w:rtl/>
          <w:lang w:bidi="fa-IR"/>
        </w:rPr>
        <w:t>جزی نیست</w:t>
      </w:r>
      <w:r w:rsidR="0089789C">
        <w:rPr>
          <w:rFonts w:hint="cs"/>
          <w:rtl/>
          <w:lang w:bidi="fa-IR"/>
        </w:rPr>
        <w:t xml:space="preserve"> زیرا اگر</w:t>
      </w:r>
      <w:r>
        <w:rPr>
          <w:rFonts w:hint="cs"/>
          <w:rtl/>
          <w:lang w:bidi="fa-IR"/>
        </w:rPr>
        <w:t>قید،</w:t>
      </w:r>
      <w:r w:rsidR="0089789C">
        <w:rPr>
          <w:rFonts w:hint="cs"/>
          <w:rtl/>
          <w:lang w:bidi="fa-IR"/>
        </w:rPr>
        <w:t xml:space="preserve"> قید هیئت باشد، تخص</w:t>
      </w:r>
      <w:r>
        <w:rPr>
          <w:rFonts w:hint="cs"/>
          <w:rtl/>
          <w:lang w:bidi="fa-IR"/>
        </w:rPr>
        <w:t>ّ</w:t>
      </w:r>
      <w:r w:rsidR="0089789C">
        <w:rPr>
          <w:rFonts w:hint="cs"/>
          <w:rtl/>
          <w:lang w:bidi="fa-IR"/>
        </w:rPr>
        <w:t>صا</w:t>
      </w:r>
      <w:r>
        <w:rPr>
          <w:rFonts w:hint="cs"/>
          <w:rtl/>
          <w:lang w:bidi="fa-IR"/>
        </w:rPr>
        <w:t>ً حج</w:t>
      </w:r>
      <w:r w:rsidR="006D1D82">
        <w:rPr>
          <w:rFonts w:hint="cs"/>
          <w:rtl/>
          <w:lang w:bidi="fa-IR"/>
        </w:rPr>
        <w:t>ّ</w:t>
      </w:r>
      <w:r>
        <w:rPr>
          <w:rFonts w:hint="cs"/>
          <w:rtl/>
          <w:lang w:bidi="fa-IR"/>
        </w:rPr>
        <w:t xml:space="preserve"> نیست زیرا</w:t>
      </w:r>
      <w:r w:rsidR="00593D65">
        <w:rPr>
          <w:rFonts w:hint="cs"/>
          <w:rtl/>
          <w:lang w:bidi="fa-IR"/>
        </w:rPr>
        <w:t xml:space="preserve"> قید،</w:t>
      </w:r>
      <w:r>
        <w:rPr>
          <w:rFonts w:hint="cs"/>
          <w:rtl/>
          <w:lang w:bidi="fa-IR"/>
        </w:rPr>
        <w:t xml:space="preserve"> شرط الوجوب است لذا وجوبی</w:t>
      </w:r>
      <w:r w:rsidR="00593D65">
        <w:rPr>
          <w:rFonts w:hint="cs"/>
          <w:rtl/>
          <w:lang w:bidi="fa-IR"/>
        </w:rPr>
        <w:t xml:space="preserve"> در کار</w:t>
      </w:r>
      <w:r>
        <w:rPr>
          <w:rFonts w:hint="cs"/>
          <w:rtl/>
          <w:lang w:bidi="fa-IR"/>
        </w:rPr>
        <w:t xml:space="preserve"> نیست؛ و اگر قید ماد</w:t>
      </w:r>
      <w:r w:rsidR="005D6D29">
        <w:rPr>
          <w:rFonts w:hint="cs"/>
          <w:rtl/>
          <w:lang w:bidi="fa-IR"/>
        </w:rPr>
        <w:t>ّ</w:t>
      </w:r>
      <w:r>
        <w:rPr>
          <w:rFonts w:hint="cs"/>
          <w:rtl/>
          <w:lang w:bidi="fa-IR"/>
        </w:rPr>
        <w:t>ه باشد تخصیصاً حجّ نیست زیرا</w:t>
      </w:r>
      <w:r w:rsidR="00593D65">
        <w:rPr>
          <w:rFonts w:hint="cs"/>
          <w:rtl/>
          <w:lang w:bidi="fa-IR"/>
        </w:rPr>
        <w:t xml:space="preserve"> قید،</w:t>
      </w:r>
      <w:r>
        <w:rPr>
          <w:rFonts w:hint="cs"/>
          <w:rtl/>
          <w:lang w:bidi="fa-IR"/>
        </w:rPr>
        <w:t xml:space="preserve"> شرط ال</w:t>
      </w:r>
      <w:r w:rsidR="00CE5127">
        <w:rPr>
          <w:rFonts w:hint="cs"/>
          <w:rtl/>
          <w:lang w:bidi="fa-IR"/>
        </w:rPr>
        <w:t>وجود است پس حج</w:t>
      </w:r>
      <w:r w:rsidR="005D6D29">
        <w:rPr>
          <w:rFonts w:hint="cs"/>
          <w:rtl/>
          <w:lang w:bidi="fa-IR"/>
        </w:rPr>
        <w:t>ّ</w:t>
      </w:r>
      <w:r w:rsidR="00CE5127">
        <w:rPr>
          <w:rFonts w:hint="cs"/>
          <w:rtl/>
          <w:lang w:bidi="fa-IR"/>
        </w:rPr>
        <w:t xml:space="preserve"> </w:t>
      </w:r>
      <w:r w:rsidR="00672CD4">
        <w:rPr>
          <w:rFonts w:hint="cs"/>
          <w:rtl/>
          <w:lang w:bidi="fa-IR"/>
        </w:rPr>
        <w:t xml:space="preserve">واقعی </w:t>
      </w:r>
      <w:r w:rsidR="00CE5127">
        <w:rPr>
          <w:rFonts w:hint="cs"/>
          <w:rtl/>
          <w:lang w:bidi="fa-IR"/>
        </w:rPr>
        <w:t>وجود ندارد.</w:t>
      </w:r>
    </w:p>
    <w:p w:rsidR="00696725" w:rsidRDefault="005D6D29" w:rsidP="00696725">
      <w:pPr>
        <w:bidi/>
        <w:rPr>
          <w:rtl/>
          <w:lang w:bidi="fa-IR"/>
        </w:rPr>
      </w:pPr>
      <w:r>
        <w:rPr>
          <w:rFonts w:hint="cs"/>
          <w:rtl/>
          <w:lang w:bidi="fa-IR"/>
        </w:rPr>
        <w:t xml:space="preserve">بنابراین </w:t>
      </w:r>
      <w:r w:rsidR="00402BA5">
        <w:rPr>
          <w:rFonts w:hint="cs"/>
          <w:rtl/>
          <w:lang w:bidi="fa-IR"/>
        </w:rPr>
        <w:t>در رابطه با اثر او</w:t>
      </w:r>
      <w:r w:rsidR="00321D58">
        <w:rPr>
          <w:rFonts w:hint="cs"/>
          <w:rtl/>
          <w:lang w:bidi="fa-IR"/>
        </w:rPr>
        <w:t>ّ</w:t>
      </w:r>
      <w:r w:rsidR="00402BA5">
        <w:rPr>
          <w:rFonts w:hint="cs"/>
          <w:rtl/>
          <w:lang w:bidi="fa-IR"/>
        </w:rPr>
        <w:t>ل</w:t>
      </w:r>
      <w:r>
        <w:rPr>
          <w:rFonts w:hint="cs"/>
          <w:rtl/>
          <w:lang w:bidi="fa-IR"/>
        </w:rPr>
        <w:t>،</w:t>
      </w:r>
      <w:r w:rsidR="00402BA5">
        <w:rPr>
          <w:rFonts w:hint="cs"/>
          <w:rtl/>
          <w:lang w:bidi="fa-IR"/>
        </w:rPr>
        <w:t xml:space="preserve"> علم اجمالی منحل</w:t>
      </w:r>
      <w:r w:rsidR="00321D58">
        <w:rPr>
          <w:rFonts w:hint="cs"/>
          <w:rtl/>
          <w:lang w:bidi="fa-IR"/>
        </w:rPr>
        <w:t>ّ</w:t>
      </w:r>
      <w:r w:rsidR="00402BA5">
        <w:rPr>
          <w:rFonts w:hint="cs"/>
          <w:rtl/>
          <w:lang w:bidi="fa-IR"/>
        </w:rPr>
        <w:t xml:space="preserve"> می شود</w:t>
      </w:r>
      <w:r w:rsidR="00696725">
        <w:rPr>
          <w:rFonts w:hint="cs"/>
          <w:rtl/>
          <w:lang w:bidi="fa-IR"/>
        </w:rPr>
        <w:t xml:space="preserve"> و اصالة الإطلاق در ناحیه ی</w:t>
      </w:r>
      <w:r w:rsidR="00402BA5">
        <w:rPr>
          <w:rFonts w:hint="cs"/>
          <w:rtl/>
          <w:lang w:bidi="fa-IR"/>
        </w:rPr>
        <w:t xml:space="preserve"> </w:t>
      </w:r>
      <w:r>
        <w:rPr>
          <w:rFonts w:hint="cs"/>
          <w:rtl/>
          <w:lang w:bidi="fa-IR"/>
        </w:rPr>
        <w:t>هیئت بلا معارض باقی می ماند.</w:t>
      </w:r>
    </w:p>
    <w:p w:rsidR="006E747E" w:rsidRDefault="000503F9" w:rsidP="00696725">
      <w:pPr>
        <w:bidi/>
        <w:rPr>
          <w:rtl/>
          <w:lang w:bidi="fa-IR"/>
        </w:rPr>
      </w:pPr>
      <w:r>
        <w:rPr>
          <w:rFonts w:hint="cs"/>
          <w:rtl/>
          <w:lang w:bidi="fa-IR"/>
        </w:rPr>
        <w:t>اما در رابطه با اثر دو</w:t>
      </w:r>
      <w:r w:rsidR="00696725">
        <w:rPr>
          <w:rFonts w:hint="cs"/>
          <w:rtl/>
          <w:lang w:bidi="fa-IR"/>
        </w:rPr>
        <w:t>ّ</w:t>
      </w:r>
      <w:r>
        <w:rPr>
          <w:rFonts w:hint="cs"/>
          <w:rtl/>
          <w:lang w:bidi="fa-IR"/>
        </w:rPr>
        <w:t xml:space="preserve">م: </w:t>
      </w:r>
      <w:r w:rsidR="006E747E">
        <w:rPr>
          <w:rFonts w:hint="cs"/>
          <w:rtl/>
          <w:lang w:bidi="fa-IR"/>
        </w:rPr>
        <w:t>اگر قید</w:t>
      </w:r>
      <w:r w:rsidR="00696725">
        <w:rPr>
          <w:rFonts w:hint="cs"/>
          <w:rtl/>
          <w:lang w:bidi="fa-IR"/>
        </w:rPr>
        <w:t>، قید</w:t>
      </w:r>
      <w:r w:rsidR="006E747E">
        <w:rPr>
          <w:rFonts w:hint="cs"/>
          <w:rtl/>
          <w:lang w:bidi="fa-IR"/>
        </w:rPr>
        <w:t xml:space="preserve"> ماد</w:t>
      </w:r>
      <w:r w:rsidR="00696725">
        <w:rPr>
          <w:rFonts w:hint="cs"/>
          <w:rtl/>
          <w:lang w:bidi="fa-IR"/>
        </w:rPr>
        <w:t>ّ</w:t>
      </w:r>
      <w:r w:rsidR="006E747E">
        <w:rPr>
          <w:rFonts w:hint="cs"/>
          <w:rtl/>
          <w:lang w:bidi="fa-IR"/>
        </w:rPr>
        <w:t xml:space="preserve">ه </w:t>
      </w:r>
      <w:r w:rsidR="00696725">
        <w:rPr>
          <w:rFonts w:hint="cs"/>
          <w:rtl/>
          <w:lang w:bidi="fa-IR"/>
        </w:rPr>
        <w:t>باشد</w:t>
      </w:r>
      <w:r w:rsidR="006E747E">
        <w:rPr>
          <w:rFonts w:hint="cs"/>
          <w:rtl/>
          <w:lang w:bidi="fa-IR"/>
        </w:rPr>
        <w:t xml:space="preserve">، تحصیل استطاعت </w:t>
      </w:r>
      <w:r w:rsidR="00370C3A">
        <w:rPr>
          <w:rFonts w:hint="cs"/>
          <w:rtl/>
          <w:lang w:bidi="fa-IR"/>
        </w:rPr>
        <w:t>واجب است</w:t>
      </w:r>
      <w:r w:rsidR="00696725">
        <w:rPr>
          <w:rFonts w:hint="cs"/>
          <w:rtl/>
          <w:lang w:bidi="fa-IR"/>
        </w:rPr>
        <w:t xml:space="preserve"> زیرا هیئت مطلق است و وجوب هست؛</w:t>
      </w:r>
      <w:r w:rsidR="00370C3A">
        <w:rPr>
          <w:rFonts w:hint="cs"/>
          <w:rtl/>
          <w:lang w:bidi="fa-IR"/>
        </w:rPr>
        <w:t xml:space="preserve"> ولی ا</w:t>
      </w:r>
      <w:r w:rsidR="00CD4E98">
        <w:rPr>
          <w:rFonts w:hint="cs"/>
          <w:rtl/>
          <w:lang w:bidi="fa-IR"/>
        </w:rPr>
        <w:t xml:space="preserve">گر </w:t>
      </w:r>
      <w:r w:rsidR="00696725">
        <w:rPr>
          <w:rFonts w:hint="cs"/>
          <w:rtl/>
          <w:lang w:bidi="fa-IR"/>
        </w:rPr>
        <w:t>قید، قید هیئت باشد، تحصیل استطاعت</w:t>
      </w:r>
      <w:r w:rsidR="00D36724">
        <w:rPr>
          <w:rFonts w:hint="cs"/>
          <w:rtl/>
          <w:lang w:bidi="fa-IR"/>
        </w:rPr>
        <w:t xml:space="preserve"> واجب نیست زیرا</w:t>
      </w:r>
      <w:r w:rsidR="00696725">
        <w:rPr>
          <w:rFonts w:hint="cs"/>
          <w:rtl/>
          <w:lang w:bidi="fa-IR"/>
        </w:rPr>
        <w:t xml:space="preserve"> وجوب فعلی</w:t>
      </w:r>
      <w:r w:rsidR="00D36724">
        <w:rPr>
          <w:rFonts w:hint="cs"/>
          <w:rtl/>
          <w:lang w:bidi="fa-IR"/>
        </w:rPr>
        <w:t xml:space="preserve"> </w:t>
      </w:r>
      <w:r w:rsidR="00D36724">
        <w:rPr>
          <w:rFonts w:hint="cs"/>
          <w:rtl/>
          <w:lang w:bidi="fa-IR"/>
        </w:rPr>
        <w:lastRenderedPageBreak/>
        <w:t>نیست؛ اما در صورت شک</w:t>
      </w:r>
      <w:r w:rsidR="00696725">
        <w:rPr>
          <w:rFonts w:hint="cs"/>
          <w:rtl/>
          <w:lang w:bidi="fa-IR"/>
        </w:rPr>
        <w:t>ّ</w:t>
      </w:r>
      <w:r w:rsidR="00D36724">
        <w:rPr>
          <w:rFonts w:hint="cs"/>
          <w:rtl/>
          <w:lang w:bidi="fa-IR"/>
        </w:rPr>
        <w:t>، اصالة الإطلاق در ناحیه ی ماد</w:t>
      </w:r>
      <w:r w:rsidR="00696725">
        <w:rPr>
          <w:rFonts w:hint="cs"/>
          <w:rtl/>
          <w:lang w:bidi="fa-IR"/>
        </w:rPr>
        <w:t>ّ</w:t>
      </w:r>
      <w:r w:rsidR="00D36724">
        <w:rPr>
          <w:rFonts w:hint="cs"/>
          <w:rtl/>
          <w:lang w:bidi="fa-IR"/>
        </w:rPr>
        <w:t xml:space="preserve">ه جاری می شود و با اطلاق </w:t>
      </w:r>
      <w:r>
        <w:rPr>
          <w:rFonts w:hint="cs"/>
          <w:rtl/>
          <w:lang w:bidi="fa-IR"/>
        </w:rPr>
        <w:t xml:space="preserve">در ناحیه ی </w:t>
      </w:r>
      <w:r w:rsidR="00D36724">
        <w:rPr>
          <w:rFonts w:hint="cs"/>
          <w:rtl/>
          <w:lang w:bidi="fa-IR"/>
        </w:rPr>
        <w:t>هیئت</w:t>
      </w:r>
      <w:r w:rsidR="00696725">
        <w:rPr>
          <w:rFonts w:hint="cs"/>
          <w:rtl/>
          <w:lang w:bidi="fa-IR"/>
        </w:rPr>
        <w:t>،</w:t>
      </w:r>
      <w:r w:rsidR="00D36724">
        <w:rPr>
          <w:rFonts w:hint="cs"/>
          <w:rtl/>
          <w:lang w:bidi="fa-IR"/>
        </w:rPr>
        <w:t xml:space="preserve"> تعارض و تساقط می کنند.</w:t>
      </w:r>
    </w:p>
    <w:p w:rsidR="000503F9" w:rsidRPr="00DC1546" w:rsidRDefault="000503F9" w:rsidP="000503F9">
      <w:pPr>
        <w:bidi/>
        <w:rPr>
          <w:color w:val="0070C0"/>
          <w:rtl/>
          <w:lang w:bidi="fa-IR"/>
        </w:rPr>
      </w:pPr>
      <w:r w:rsidRPr="00DC1546">
        <w:rPr>
          <w:rFonts w:hint="cs"/>
          <w:color w:val="0070C0"/>
          <w:rtl/>
          <w:lang w:bidi="fa-IR"/>
        </w:rPr>
        <w:t>رد</w:t>
      </w:r>
      <w:r w:rsidR="00696725" w:rsidRPr="00DC1546">
        <w:rPr>
          <w:rFonts w:hint="cs"/>
          <w:color w:val="0070C0"/>
          <w:rtl/>
          <w:lang w:bidi="fa-IR"/>
        </w:rPr>
        <w:t>ّ</w:t>
      </w:r>
      <w:r w:rsidRPr="00DC1546">
        <w:rPr>
          <w:rFonts w:hint="cs"/>
          <w:color w:val="0070C0"/>
          <w:rtl/>
          <w:lang w:bidi="fa-IR"/>
        </w:rPr>
        <w:t xml:space="preserve"> این نظریه</w:t>
      </w:r>
    </w:p>
    <w:p w:rsidR="00005568" w:rsidRDefault="000503F9" w:rsidP="00696725">
      <w:pPr>
        <w:bidi/>
        <w:rPr>
          <w:rtl/>
          <w:lang w:bidi="fa-IR"/>
        </w:rPr>
      </w:pPr>
      <w:r>
        <w:rPr>
          <w:rFonts w:hint="cs"/>
          <w:rtl/>
          <w:lang w:bidi="fa-IR"/>
        </w:rPr>
        <w:t>اطلاق ماد</w:t>
      </w:r>
      <w:r w:rsidR="00696725">
        <w:rPr>
          <w:rFonts w:hint="cs"/>
          <w:rtl/>
          <w:lang w:bidi="fa-IR"/>
        </w:rPr>
        <w:t>ّ</w:t>
      </w:r>
      <w:r>
        <w:rPr>
          <w:rFonts w:hint="cs"/>
          <w:rtl/>
          <w:lang w:bidi="fa-IR"/>
        </w:rPr>
        <w:t xml:space="preserve">ه یک اثر بیشتر ندارد: </w:t>
      </w:r>
      <w:r w:rsidR="006D1D82">
        <w:rPr>
          <w:rFonts w:hint="cs"/>
          <w:rtl/>
          <w:lang w:bidi="fa-IR"/>
        </w:rPr>
        <w:t>«</w:t>
      </w:r>
      <w:r w:rsidR="00696725">
        <w:rPr>
          <w:rFonts w:hint="cs"/>
          <w:rtl/>
          <w:lang w:bidi="fa-IR"/>
        </w:rPr>
        <w:t>اکتفاء به فرد فاقد قید</w:t>
      </w:r>
      <w:r w:rsidR="006D1D82">
        <w:rPr>
          <w:rFonts w:hint="cs"/>
          <w:rtl/>
          <w:lang w:bidi="fa-IR"/>
        </w:rPr>
        <w:t>»</w:t>
      </w:r>
      <w:r w:rsidR="00696725">
        <w:rPr>
          <w:rFonts w:hint="cs"/>
          <w:rtl/>
          <w:lang w:bidi="fa-IR"/>
        </w:rPr>
        <w:t>(همان اثر او</w:t>
      </w:r>
      <w:r w:rsidR="00005568">
        <w:rPr>
          <w:rFonts w:hint="cs"/>
          <w:rtl/>
          <w:lang w:bidi="fa-IR"/>
        </w:rPr>
        <w:t>ّ</w:t>
      </w:r>
      <w:r w:rsidR="00696725">
        <w:rPr>
          <w:rFonts w:hint="cs"/>
          <w:rtl/>
          <w:lang w:bidi="fa-IR"/>
        </w:rPr>
        <w:t>ل)</w:t>
      </w:r>
      <w:r>
        <w:rPr>
          <w:rFonts w:hint="cs"/>
          <w:rtl/>
          <w:lang w:bidi="fa-IR"/>
        </w:rPr>
        <w:t>؛ این اثر یقینا</w:t>
      </w:r>
      <w:r w:rsidR="00696725">
        <w:rPr>
          <w:rFonts w:hint="cs"/>
          <w:rtl/>
          <w:lang w:bidi="fa-IR"/>
        </w:rPr>
        <w:t>ً</w:t>
      </w:r>
      <w:r>
        <w:rPr>
          <w:rFonts w:hint="cs"/>
          <w:rtl/>
          <w:lang w:bidi="fa-IR"/>
        </w:rPr>
        <w:t xml:space="preserve"> در مانحن فیه منتفی است زیرا امر دائر است بین تعل</w:t>
      </w:r>
      <w:r w:rsidR="00696725">
        <w:rPr>
          <w:rFonts w:hint="cs"/>
          <w:rtl/>
          <w:lang w:bidi="fa-IR"/>
        </w:rPr>
        <w:t>ّ</w:t>
      </w:r>
      <w:r>
        <w:rPr>
          <w:rFonts w:hint="cs"/>
          <w:rtl/>
          <w:lang w:bidi="fa-IR"/>
        </w:rPr>
        <w:t>ق قید به ماد</w:t>
      </w:r>
      <w:r w:rsidR="00696725">
        <w:rPr>
          <w:rFonts w:hint="cs"/>
          <w:rtl/>
          <w:lang w:bidi="fa-IR"/>
        </w:rPr>
        <w:t>ّ</w:t>
      </w:r>
      <w:r>
        <w:rPr>
          <w:rFonts w:hint="cs"/>
          <w:rtl/>
          <w:lang w:bidi="fa-IR"/>
        </w:rPr>
        <w:t>ه و تعل</w:t>
      </w:r>
      <w:r w:rsidR="00696725">
        <w:rPr>
          <w:rFonts w:hint="cs"/>
          <w:rtl/>
          <w:lang w:bidi="fa-IR"/>
        </w:rPr>
        <w:t>ّ</w:t>
      </w:r>
      <w:r>
        <w:rPr>
          <w:rFonts w:hint="cs"/>
          <w:rtl/>
          <w:lang w:bidi="fa-IR"/>
        </w:rPr>
        <w:t>ق به هیئت بخاطر علم اجمالی</w:t>
      </w:r>
      <w:r w:rsidR="00696725">
        <w:rPr>
          <w:rFonts w:hint="cs"/>
          <w:rtl/>
          <w:lang w:bidi="fa-IR"/>
        </w:rPr>
        <w:t xml:space="preserve"> به تعل</w:t>
      </w:r>
      <w:r w:rsidR="00005568">
        <w:rPr>
          <w:rFonts w:hint="cs"/>
          <w:rtl/>
          <w:lang w:bidi="fa-IR"/>
        </w:rPr>
        <w:t>ّ</w:t>
      </w:r>
      <w:r w:rsidR="00696725">
        <w:rPr>
          <w:rFonts w:hint="cs"/>
          <w:rtl/>
          <w:lang w:bidi="fa-IR"/>
        </w:rPr>
        <w:t>ق قید به یکی از این دو؛</w:t>
      </w:r>
      <w:r>
        <w:rPr>
          <w:rFonts w:hint="cs"/>
          <w:rtl/>
          <w:lang w:bidi="fa-IR"/>
        </w:rPr>
        <w:t xml:space="preserve"> </w:t>
      </w:r>
      <w:r w:rsidR="00696725">
        <w:rPr>
          <w:rFonts w:hint="cs"/>
          <w:rtl/>
          <w:lang w:bidi="fa-IR"/>
        </w:rPr>
        <w:t>و در هر دو صورت این اثر منتفی است یعنی حج</w:t>
      </w:r>
      <w:r w:rsidR="00005568">
        <w:rPr>
          <w:rFonts w:hint="cs"/>
          <w:rtl/>
          <w:lang w:bidi="fa-IR"/>
        </w:rPr>
        <w:t>ّ</w:t>
      </w:r>
      <w:r w:rsidR="00696725">
        <w:rPr>
          <w:rFonts w:hint="cs"/>
          <w:rtl/>
          <w:lang w:bidi="fa-IR"/>
        </w:rPr>
        <w:t xml:space="preserve"> بدون استطاعت مجزی نیست</w:t>
      </w:r>
      <w:r>
        <w:rPr>
          <w:rFonts w:hint="cs"/>
          <w:rtl/>
          <w:lang w:bidi="fa-IR"/>
        </w:rPr>
        <w:t xml:space="preserve"> زیرا</w:t>
      </w:r>
      <w:r w:rsidR="00005568">
        <w:rPr>
          <w:rFonts w:hint="cs"/>
          <w:rtl/>
          <w:lang w:bidi="fa-IR"/>
        </w:rPr>
        <w:t xml:space="preserve"> این حجّ</w:t>
      </w:r>
      <w:r>
        <w:rPr>
          <w:rFonts w:hint="cs"/>
          <w:rtl/>
          <w:lang w:bidi="fa-IR"/>
        </w:rPr>
        <w:t xml:space="preserve"> یا تخص</w:t>
      </w:r>
      <w:r w:rsidR="00696725">
        <w:rPr>
          <w:rFonts w:hint="cs"/>
          <w:rtl/>
          <w:lang w:bidi="fa-IR"/>
        </w:rPr>
        <w:t>ّ</w:t>
      </w:r>
      <w:r>
        <w:rPr>
          <w:rFonts w:hint="cs"/>
          <w:rtl/>
          <w:lang w:bidi="fa-IR"/>
        </w:rPr>
        <w:t>صا</w:t>
      </w:r>
      <w:r w:rsidR="00696725">
        <w:rPr>
          <w:rFonts w:hint="cs"/>
          <w:rtl/>
          <w:lang w:bidi="fa-IR"/>
        </w:rPr>
        <w:t>ً</w:t>
      </w:r>
      <w:r>
        <w:rPr>
          <w:rFonts w:hint="cs"/>
          <w:rtl/>
          <w:lang w:bidi="fa-IR"/>
        </w:rPr>
        <w:t xml:space="preserve"> حج</w:t>
      </w:r>
      <w:r w:rsidR="00696725">
        <w:rPr>
          <w:rFonts w:hint="cs"/>
          <w:rtl/>
          <w:lang w:bidi="fa-IR"/>
        </w:rPr>
        <w:t>ّ</w:t>
      </w:r>
      <w:r>
        <w:rPr>
          <w:rFonts w:hint="cs"/>
          <w:rtl/>
          <w:lang w:bidi="fa-IR"/>
        </w:rPr>
        <w:t xml:space="preserve"> نیست یا تخصیصا</w:t>
      </w:r>
      <w:r w:rsidR="00696725">
        <w:rPr>
          <w:rFonts w:hint="cs"/>
          <w:rtl/>
          <w:lang w:bidi="fa-IR"/>
        </w:rPr>
        <w:t>ً</w:t>
      </w:r>
      <w:r w:rsidR="00005568">
        <w:rPr>
          <w:rFonts w:hint="cs"/>
          <w:rtl/>
          <w:lang w:bidi="fa-IR"/>
        </w:rPr>
        <w:t>؛</w:t>
      </w:r>
    </w:p>
    <w:p w:rsidR="000503F9" w:rsidRDefault="005F5ACF" w:rsidP="00005568">
      <w:pPr>
        <w:bidi/>
        <w:rPr>
          <w:rtl/>
          <w:lang w:bidi="fa-IR"/>
        </w:rPr>
      </w:pPr>
      <w:r>
        <w:rPr>
          <w:rFonts w:hint="cs"/>
          <w:rtl/>
          <w:lang w:bidi="fa-IR"/>
        </w:rPr>
        <w:t>أ</w:t>
      </w:r>
      <w:r w:rsidR="000503F9">
        <w:rPr>
          <w:rFonts w:hint="cs"/>
          <w:rtl/>
          <w:lang w:bidi="fa-IR"/>
        </w:rPr>
        <w:t>م</w:t>
      </w:r>
      <w:r w:rsidR="00696725">
        <w:rPr>
          <w:rFonts w:hint="cs"/>
          <w:rtl/>
          <w:lang w:bidi="fa-IR"/>
        </w:rPr>
        <w:t>ّ</w:t>
      </w:r>
      <w:r w:rsidR="000503F9">
        <w:rPr>
          <w:rFonts w:hint="cs"/>
          <w:rtl/>
          <w:lang w:bidi="fa-IR"/>
        </w:rPr>
        <w:t>ا اثر دو</w:t>
      </w:r>
      <w:r w:rsidR="00696725">
        <w:rPr>
          <w:rFonts w:hint="cs"/>
          <w:rtl/>
          <w:lang w:bidi="fa-IR"/>
        </w:rPr>
        <w:t>ّ</w:t>
      </w:r>
      <w:r w:rsidR="000503F9">
        <w:rPr>
          <w:rFonts w:hint="cs"/>
          <w:rtl/>
          <w:lang w:bidi="fa-IR"/>
        </w:rPr>
        <w:t>م متوق</w:t>
      </w:r>
      <w:r w:rsidR="00696725">
        <w:rPr>
          <w:rFonts w:hint="cs"/>
          <w:rtl/>
          <w:lang w:bidi="fa-IR"/>
        </w:rPr>
        <w:t>ّ</w:t>
      </w:r>
      <w:r w:rsidR="000503F9">
        <w:rPr>
          <w:rFonts w:hint="cs"/>
          <w:rtl/>
          <w:lang w:bidi="fa-IR"/>
        </w:rPr>
        <w:t>ف بر دو امر است:</w:t>
      </w:r>
    </w:p>
    <w:p w:rsidR="000503F9" w:rsidRDefault="000503F9" w:rsidP="000503F9">
      <w:pPr>
        <w:bidi/>
        <w:rPr>
          <w:rtl/>
          <w:lang w:bidi="fa-IR"/>
        </w:rPr>
      </w:pPr>
      <w:r>
        <w:rPr>
          <w:rFonts w:hint="cs"/>
          <w:rtl/>
          <w:lang w:bidi="fa-IR"/>
        </w:rPr>
        <w:t>او</w:t>
      </w:r>
      <w:r w:rsidR="00696725">
        <w:rPr>
          <w:rFonts w:hint="cs"/>
          <w:rtl/>
          <w:lang w:bidi="fa-IR"/>
        </w:rPr>
        <w:t>ّ</w:t>
      </w:r>
      <w:r>
        <w:rPr>
          <w:rFonts w:hint="cs"/>
          <w:rtl/>
          <w:lang w:bidi="fa-IR"/>
        </w:rPr>
        <w:t>ل: ماد</w:t>
      </w:r>
      <w:r w:rsidR="00696725">
        <w:rPr>
          <w:rFonts w:hint="cs"/>
          <w:rtl/>
          <w:lang w:bidi="fa-IR"/>
        </w:rPr>
        <w:t>ّ</w:t>
      </w:r>
      <w:r>
        <w:rPr>
          <w:rFonts w:hint="cs"/>
          <w:rtl/>
          <w:lang w:bidi="fa-IR"/>
        </w:rPr>
        <w:t>ه مقی</w:t>
      </w:r>
      <w:r w:rsidR="00696725">
        <w:rPr>
          <w:rFonts w:hint="cs"/>
          <w:rtl/>
          <w:lang w:bidi="fa-IR"/>
        </w:rPr>
        <w:t>ّ</w:t>
      </w:r>
      <w:r>
        <w:rPr>
          <w:rFonts w:hint="cs"/>
          <w:rtl/>
          <w:lang w:bidi="fa-IR"/>
        </w:rPr>
        <w:t>د باشد؛ مثلا</w:t>
      </w:r>
      <w:r w:rsidR="00696725">
        <w:rPr>
          <w:rFonts w:hint="cs"/>
          <w:rtl/>
          <w:lang w:bidi="fa-IR"/>
        </w:rPr>
        <w:t>ً</w:t>
      </w:r>
      <w:r>
        <w:rPr>
          <w:rFonts w:hint="cs"/>
          <w:rtl/>
          <w:lang w:bidi="fa-IR"/>
        </w:rPr>
        <w:t xml:space="preserve"> حج</w:t>
      </w:r>
      <w:r w:rsidR="00696725">
        <w:rPr>
          <w:rFonts w:hint="cs"/>
          <w:rtl/>
          <w:lang w:bidi="fa-IR"/>
        </w:rPr>
        <w:t>ّ</w:t>
      </w:r>
      <w:r>
        <w:rPr>
          <w:rFonts w:hint="cs"/>
          <w:rtl/>
          <w:lang w:bidi="fa-IR"/>
        </w:rPr>
        <w:t xml:space="preserve"> مقی</w:t>
      </w:r>
      <w:r w:rsidR="00696725">
        <w:rPr>
          <w:rFonts w:hint="cs"/>
          <w:rtl/>
          <w:lang w:bidi="fa-IR"/>
        </w:rPr>
        <w:t>ّ</w:t>
      </w:r>
      <w:r>
        <w:rPr>
          <w:rFonts w:hint="cs"/>
          <w:rtl/>
          <w:lang w:bidi="fa-IR"/>
        </w:rPr>
        <w:t>د به استطاعت باشد</w:t>
      </w:r>
      <w:r w:rsidR="00005568">
        <w:rPr>
          <w:rFonts w:hint="cs"/>
          <w:rtl/>
          <w:lang w:bidi="fa-IR"/>
        </w:rPr>
        <w:t>.</w:t>
      </w:r>
    </w:p>
    <w:p w:rsidR="000503F9" w:rsidRDefault="000503F9" w:rsidP="000503F9">
      <w:pPr>
        <w:bidi/>
        <w:rPr>
          <w:rtl/>
          <w:lang w:bidi="fa-IR"/>
        </w:rPr>
      </w:pPr>
      <w:r>
        <w:rPr>
          <w:rFonts w:hint="cs"/>
          <w:rtl/>
          <w:lang w:bidi="fa-IR"/>
        </w:rPr>
        <w:t>دو</w:t>
      </w:r>
      <w:r w:rsidR="00696725">
        <w:rPr>
          <w:rFonts w:hint="cs"/>
          <w:rtl/>
          <w:lang w:bidi="fa-IR"/>
        </w:rPr>
        <w:t>ّ</w:t>
      </w:r>
      <w:r>
        <w:rPr>
          <w:rFonts w:hint="cs"/>
          <w:rtl/>
          <w:lang w:bidi="fa-IR"/>
        </w:rPr>
        <w:t>م: هیئت مطلق باشد؛ در این مثال، وجوب حج</w:t>
      </w:r>
      <w:r w:rsidR="00005568">
        <w:rPr>
          <w:rFonts w:hint="cs"/>
          <w:rtl/>
          <w:lang w:bidi="fa-IR"/>
        </w:rPr>
        <w:t>ّ</w:t>
      </w:r>
      <w:r>
        <w:rPr>
          <w:rFonts w:hint="cs"/>
          <w:rtl/>
          <w:lang w:bidi="fa-IR"/>
        </w:rPr>
        <w:t xml:space="preserve"> مقی</w:t>
      </w:r>
      <w:r w:rsidR="00005568">
        <w:rPr>
          <w:rFonts w:hint="cs"/>
          <w:rtl/>
          <w:lang w:bidi="fa-IR"/>
        </w:rPr>
        <w:t>ّ</w:t>
      </w:r>
      <w:r>
        <w:rPr>
          <w:rFonts w:hint="cs"/>
          <w:rtl/>
          <w:lang w:bidi="fa-IR"/>
        </w:rPr>
        <w:t>د به استطاعت نباشد و مطلق باشد.</w:t>
      </w:r>
    </w:p>
    <w:p w:rsidR="005F5ACF" w:rsidRDefault="005F5ACF" w:rsidP="005F5ACF">
      <w:pPr>
        <w:bidi/>
        <w:rPr>
          <w:rtl/>
          <w:lang w:bidi="fa-IR"/>
        </w:rPr>
      </w:pPr>
      <w:r>
        <w:rPr>
          <w:rFonts w:hint="cs"/>
          <w:rtl/>
          <w:lang w:bidi="fa-IR"/>
        </w:rPr>
        <w:t>اگر این دو وجود داشت، مکل</w:t>
      </w:r>
      <w:r w:rsidR="000B6BC9">
        <w:rPr>
          <w:rFonts w:hint="cs"/>
          <w:rtl/>
          <w:lang w:bidi="fa-IR"/>
        </w:rPr>
        <w:t>ّ</w:t>
      </w:r>
      <w:r>
        <w:rPr>
          <w:rFonts w:hint="cs"/>
          <w:rtl/>
          <w:lang w:bidi="fa-IR"/>
        </w:rPr>
        <w:t>ف</w:t>
      </w:r>
      <w:r w:rsidR="000B6BC9">
        <w:rPr>
          <w:rFonts w:hint="cs"/>
          <w:rtl/>
          <w:lang w:bidi="fa-IR"/>
        </w:rPr>
        <w:t xml:space="preserve"> باید استطاعت را تحصیل کند؛ تحصیل استطاعت اثر این دو امر است نه اثر اطلاق مادّه.</w:t>
      </w:r>
    </w:p>
    <w:p w:rsidR="000B6BC9" w:rsidRPr="005F5ACF" w:rsidRDefault="003B228E" w:rsidP="000B6BC9">
      <w:pPr>
        <w:bidi/>
        <w:rPr>
          <w:color w:val="0070C0"/>
          <w:rtl/>
          <w:lang w:bidi="fa-IR"/>
        </w:rPr>
      </w:pPr>
      <w:r w:rsidRPr="005F5ACF">
        <w:rPr>
          <w:rFonts w:hint="cs"/>
          <w:color w:val="0070C0"/>
          <w:rtl/>
          <w:lang w:bidi="fa-IR"/>
        </w:rPr>
        <w:t>خلاصه ی مطلب</w:t>
      </w:r>
    </w:p>
    <w:p w:rsidR="003B228E" w:rsidRDefault="003B228E" w:rsidP="000B6BC9">
      <w:pPr>
        <w:bidi/>
        <w:rPr>
          <w:rtl/>
          <w:lang w:bidi="fa-IR"/>
        </w:rPr>
      </w:pPr>
      <w:r>
        <w:rPr>
          <w:rFonts w:hint="cs"/>
          <w:rtl/>
          <w:lang w:bidi="fa-IR"/>
        </w:rPr>
        <w:t>در دوران امر بین تعل</w:t>
      </w:r>
      <w:r w:rsidR="005F5ACF">
        <w:rPr>
          <w:rFonts w:hint="cs"/>
          <w:rtl/>
          <w:lang w:bidi="fa-IR"/>
        </w:rPr>
        <w:t>ّ</w:t>
      </w:r>
      <w:r>
        <w:rPr>
          <w:rFonts w:hint="cs"/>
          <w:rtl/>
          <w:lang w:bidi="fa-IR"/>
        </w:rPr>
        <w:t>ق قید به ماد</w:t>
      </w:r>
      <w:r w:rsidR="005F5ACF">
        <w:rPr>
          <w:rFonts w:hint="cs"/>
          <w:rtl/>
          <w:lang w:bidi="fa-IR"/>
        </w:rPr>
        <w:t>ّ</w:t>
      </w:r>
      <w:r>
        <w:rPr>
          <w:rFonts w:hint="cs"/>
          <w:rtl/>
          <w:lang w:bidi="fa-IR"/>
        </w:rPr>
        <w:t>ه و بین تعل</w:t>
      </w:r>
      <w:r w:rsidR="005F5ACF">
        <w:rPr>
          <w:rFonts w:hint="cs"/>
          <w:rtl/>
          <w:lang w:bidi="fa-IR"/>
        </w:rPr>
        <w:t>ّ</w:t>
      </w:r>
      <w:r>
        <w:rPr>
          <w:rFonts w:hint="cs"/>
          <w:rtl/>
          <w:lang w:bidi="fa-IR"/>
        </w:rPr>
        <w:t>ق آن به هیئت، با علم اجمالی به تعل</w:t>
      </w:r>
      <w:r w:rsidR="005F5ACF">
        <w:rPr>
          <w:rFonts w:hint="cs"/>
          <w:rtl/>
          <w:lang w:bidi="fa-IR"/>
        </w:rPr>
        <w:t>ّ</w:t>
      </w:r>
      <w:r>
        <w:rPr>
          <w:rFonts w:hint="cs"/>
          <w:rtl/>
          <w:lang w:bidi="fa-IR"/>
        </w:rPr>
        <w:t>ق قید</w:t>
      </w:r>
      <w:r w:rsidR="000B6BC9">
        <w:rPr>
          <w:rFonts w:hint="cs"/>
          <w:rtl/>
          <w:lang w:bidi="fa-IR"/>
        </w:rPr>
        <w:t xml:space="preserve"> به یکی از این دو، در قید منفصل، اصل تعارض است اگر علم اجمالی منحل نشود. </w:t>
      </w:r>
      <w:r>
        <w:rPr>
          <w:rFonts w:hint="cs"/>
          <w:rtl/>
          <w:lang w:bidi="fa-IR"/>
        </w:rPr>
        <w:t>و در قید مت</w:t>
      </w:r>
      <w:r w:rsidR="005F5ACF">
        <w:rPr>
          <w:rFonts w:hint="cs"/>
          <w:rtl/>
          <w:lang w:bidi="fa-IR"/>
        </w:rPr>
        <w:t>ّ</w:t>
      </w:r>
      <w:r>
        <w:rPr>
          <w:rFonts w:hint="cs"/>
          <w:rtl/>
          <w:lang w:bidi="fa-IR"/>
        </w:rPr>
        <w:t>صل</w:t>
      </w:r>
      <w:r w:rsidR="002030D8">
        <w:rPr>
          <w:rFonts w:hint="cs"/>
          <w:rtl/>
          <w:lang w:bidi="fa-IR"/>
        </w:rPr>
        <w:t xml:space="preserve"> اصل انخرام مقد</w:t>
      </w:r>
      <w:r w:rsidR="006D1D82">
        <w:rPr>
          <w:rFonts w:hint="cs"/>
          <w:rtl/>
          <w:lang w:bidi="fa-IR"/>
        </w:rPr>
        <w:t>ّ</w:t>
      </w:r>
      <w:r w:rsidR="002030D8">
        <w:rPr>
          <w:rFonts w:hint="cs"/>
          <w:rtl/>
          <w:lang w:bidi="fa-IR"/>
        </w:rPr>
        <w:t>مات حکمت است.</w:t>
      </w:r>
    </w:p>
    <w:p w:rsidR="00DC1546" w:rsidRPr="00DC1546" w:rsidRDefault="00DC1546" w:rsidP="00DC1546">
      <w:pPr>
        <w:bidi/>
        <w:rPr>
          <w:color w:val="0070C0"/>
          <w:rtl/>
          <w:lang w:bidi="fa-IR"/>
        </w:rPr>
      </w:pPr>
      <w:r w:rsidRPr="00DC1546">
        <w:rPr>
          <w:rFonts w:hint="cs"/>
          <w:color w:val="0070C0"/>
          <w:rtl/>
          <w:lang w:bidi="fa-IR"/>
        </w:rPr>
        <w:t>فرمایش امام خمینی رحمةالله علیه</w:t>
      </w:r>
    </w:p>
    <w:p w:rsidR="00CA0A96" w:rsidRDefault="0030105D" w:rsidP="0031306C">
      <w:pPr>
        <w:bidi/>
        <w:rPr>
          <w:rtl/>
          <w:lang w:bidi="fa-IR"/>
        </w:rPr>
      </w:pPr>
      <w:r>
        <w:rPr>
          <w:rFonts w:hint="cs"/>
          <w:rtl/>
          <w:lang w:bidi="ar-IQ"/>
        </w:rPr>
        <w:t>حضرت امام می فرماید</w:t>
      </w:r>
      <w:r w:rsidR="0031306C">
        <w:rPr>
          <w:rFonts w:hint="cs"/>
          <w:rtl/>
          <w:lang w:bidi="fa-IR"/>
        </w:rPr>
        <w:t>: اینکه گفته اند: تقیید هیئت مستلزم تقیید ماد</w:t>
      </w:r>
      <w:r w:rsidR="006D1D82">
        <w:rPr>
          <w:rFonts w:hint="cs"/>
          <w:rtl/>
          <w:lang w:bidi="fa-IR"/>
        </w:rPr>
        <w:t>ّ</w:t>
      </w:r>
      <w:r w:rsidR="0031306C">
        <w:rPr>
          <w:rFonts w:hint="cs"/>
          <w:rtl/>
          <w:lang w:bidi="fa-IR"/>
        </w:rPr>
        <w:t xml:space="preserve">ه است و لا العکس، </w:t>
      </w:r>
      <w:r w:rsidR="003B228E">
        <w:rPr>
          <w:rFonts w:hint="cs"/>
          <w:rtl/>
          <w:lang w:bidi="fa-IR"/>
        </w:rPr>
        <w:t>صحیح نیست بلکه دو طرفی است</w:t>
      </w:r>
      <w:r w:rsidR="006D1D82">
        <w:rPr>
          <w:rFonts w:hint="cs"/>
          <w:rtl/>
          <w:lang w:bidi="fa-IR"/>
        </w:rPr>
        <w:t xml:space="preserve"> یعنی</w:t>
      </w:r>
      <w:r w:rsidR="003B228E">
        <w:rPr>
          <w:rFonts w:hint="cs"/>
          <w:rtl/>
          <w:lang w:bidi="fa-IR"/>
        </w:rPr>
        <w:t xml:space="preserve"> هیئت نیز با تقیید ماد</w:t>
      </w:r>
      <w:r w:rsidR="006D1D82">
        <w:rPr>
          <w:rFonts w:hint="cs"/>
          <w:rtl/>
          <w:lang w:bidi="fa-IR"/>
        </w:rPr>
        <w:t>ّ</w:t>
      </w:r>
      <w:r w:rsidR="003B228E">
        <w:rPr>
          <w:rFonts w:hint="cs"/>
          <w:rtl/>
          <w:lang w:bidi="fa-IR"/>
        </w:rPr>
        <w:t>ه</w:t>
      </w:r>
      <w:r w:rsidR="006D1D82">
        <w:rPr>
          <w:rFonts w:hint="cs"/>
          <w:rtl/>
          <w:lang w:bidi="fa-IR"/>
        </w:rPr>
        <w:t>،</w:t>
      </w:r>
      <w:r w:rsidR="003B228E">
        <w:rPr>
          <w:rFonts w:hint="cs"/>
          <w:rtl/>
          <w:lang w:bidi="fa-IR"/>
        </w:rPr>
        <w:t xml:space="preserve"> مقید می شود.</w:t>
      </w:r>
      <w:r w:rsidR="0031306C">
        <w:rPr>
          <w:rStyle w:val="FootnoteReference"/>
          <w:rtl/>
          <w:lang w:bidi="fa-IR"/>
        </w:rPr>
        <w:footnoteReference w:id="1"/>
      </w:r>
    </w:p>
    <w:p w:rsidR="0011258B" w:rsidRDefault="00CA0A96" w:rsidP="003C016B">
      <w:pPr>
        <w:bidi/>
        <w:rPr>
          <w:rtl/>
          <w:lang w:bidi="fa-IR"/>
        </w:rPr>
      </w:pPr>
      <w:r>
        <w:rPr>
          <w:rFonts w:hint="cs"/>
          <w:rtl/>
          <w:lang w:bidi="fa-IR"/>
        </w:rPr>
        <w:t>این فر مایش فی الجمله صحیح است ولی</w:t>
      </w:r>
      <w:r w:rsidR="0031306C">
        <w:rPr>
          <w:rFonts w:hint="cs"/>
          <w:rtl/>
          <w:lang w:bidi="fa-IR"/>
        </w:rPr>
        <w:t xml:space="preserve"> صورت صحّت آن،</w:t>
      </w:r>
      <w:r>
        <w:rPr>
          <w:rFonts w:hint="cs"/>
          <w:rtl/>
          <w:lang w:bidi="fa-IR"/>
        </w:rPr>
        <w:t xml:space="preserve"> از مانحن فیه خارج است.</w:t>
      </w:r>
      <w:r w:rsidR="0031306C">
        <w:rPr>
          <w:rFonts w:hint="cs"/>
          <w:rtl/>
          <w:lang w:bidi="fa-IR"/>
        </w:rPr>
        <w:t xml:space="preserve"> فرمایش ایشان این است که ات</w:t>
      </w:r>
      <w:r w:rsidR="003C016B">
        <w:rPr>
          <w:rFonts w:hint="cs"/>
          <w:rtl/>
          <w:lang w:bidi="fa-IR"/>
        </w:rPr>
        <w:t>ّ</w:t>
      </w:r>
      <w:r w:rsidR="0031306C">
        <w:rPr>
          <w:rFonts w:hint="cs"/>
          <w:rtl/>
          <w:lang w:bidi="fa-IR"/>
        </w:rPr>
        <w:t>فاقاتی که در ماد</w:t>
      </w:r>
      <w:r w:rsidR="003C016B">
        <w:rPr>
          <w:rFonts w:hint="cs"/>
          <w:rtl/>
          <w:lang w:bidi="fa-IR"/>
        </w:rPr>
        <w:t>ّ</w:t>
      </w:r>
      <w:r w:rsidR="0031306C">
        <w:rPr>
          <w:rFonts w:hint="cs"/>
          <w:rtl/>
          <w:lang w:bidi="fa-IR"/>
        </w:rPr>
        <w:t xml:space="preserve">ه می افتد نسبت به </w:t>
      </w:r>
      <w:r w:rsidR="003C016B">
        <w:rPr>
          <w:rFonts w:hint="cs"/>
          <w:rtl/>
          <w:lang w:bidi="fa-IR"/>
        </w:rPr>
        <w:t>هیئت</w:t>
      </w:r>
      <w:r w:rsidR="0031306C">
        <w:rPr>
          <w:rFonts w:hint="cs"/>
          <w:rtl/>
          <w:lang w:bidi="fa-IR"/>
        </w:rPr>
        <w:t xml:space="preserve"> اثر دارد مثلا</w:t>
      </w:r>
      <w:r w:rsidR="003C016B">
        <w:rPr>
          <w:rFonts w:hint="cs"/>
          <w:rtl/>
          <w:lang w:bidi="fa-IR"/>
        </w:rPr>
        <w:t>ً</w:t>
      </w:r>
      <w:r w:rsidR="0031306C">
        <w:rPr>
          <w:rFonts w:hint="cs"/>
          <w:rtl/>
          <w:lang w:bidi="fa-IR"/>
        </w:rPr>
        <w:t xml:space="preserve"> اگر نماز مقی</w:t>
      </w:r>
      <w:r w:rsidR="00593D65">
        <w:rPr>
          <w:rFonts w:hint="cs"/>
          <w:rtl/>
          <w:lang w:bidi="fa-IR"/>
        </w:rPr>
        <w:t>ّ</w:t>
      </w:r>
      <w:bookmarkStart w:id="0" w:name="_GoBack"/>
      <w:bookmarkEnd w:id="0"/>
      <w:r w:rsidR="0031306C">
        <w:rPr>
          <w:rFonts w:hint="cs"/>
          <w:rtl/>
          <w:lang w:bidi="fa-IR"/>
        </w:rPr>
        <w:t>د به طهارت شد، وجوب نیز مقی</w:t>
      </w:r>
      <w:r w:rsidR="003C016B">
        <w:rPr>
          <w:rFonts w:hint="cs"/>
          <w:rtl/>
          <w:lang w:bidi="fa-IR"/>
        </w:rPr>
        <w:t>ّ</w:t>
      </w:r>
      <w:r w:rsidR="0031306C">
        <w:rPr>
          <w:rFonts w:hint="cs"/>
          <w:rtl/>
          <w:lang w:bidi="fa-IR"/>
        </w:rPr>
        <w:t>د می شود و اختصاص دارد به نماز با وضوء.</w:t>
      </w:r>
    </w:p>
    <w:p w:rsidR="0011258B" w:rsidRPr="0011258B" w:rsidRDefault="00262762" w:rsidP="0011258B">
      <w:pPr>
        <w:bidi/>
        <w:rPr>
          <w:color w:val="FF0000"/>
          <w:rtl/>
          <w:lang w:bidi="fa-IR"/>
        </w:rPr>
      </w:pPr>
      <w:r w:rsidRPr="0011258B">
        <w:rPr>
          <w:rFonts w:hint="cs"/>
          <w:color w:val="FF0000"/>
          <w:rtl/>
          <w:lang w:bidi="fa-IR"/>
        </w:rPr>
        <w:t>(پایان)</w:t>
      </w:r>
    </w:p>
    <w:sectPr w:rsidR="0011258B" w:rsidRPr="0011258B" w:rsidSect="00152A45">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0B7" w:rsidRDefault="00B330B7" w:rsidP="0031306C">
      <w:r>
        <w:separator/>
      </w:r>
    </w:p>
  </w:endnote>
  <w:endnote w:type="continuationSeparator" w:id="0">
    <w:p w:rsidR="00B330B7" w:rsidRDefault="00B330B7" w:rsidP="0031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0B7" w:rsidRDefault="00B330B7" w:rsidP="0031306C">
      <w:r>
        <w:separator/>
      </w:r>
    </w:p>
  </w:footnote>
  <w:footnote w:type="continuationSeparator" w:id="0">
    <w:p w:rsidR="00B330B7" w:rsidRDefault="00B330B7" w:rsidP="0031306C">
      <w:r>
        <w:continuationSeparator/>
      </w:r>
    </w:p>
  </w:footnote>
  <w:footnote w:id="1">
    <w:p w:rsidR="0031306C" w:rsidRPr="00D75FA8" w:rsidRDefault="0031306C" w:rsidP="00D75FA8">
      <w:pPr>
        <w:pStyle w:val="FootnoteText"/>
        <w:bidi/>
        <w:rPr>
          <w:sz w:val="24"/>
          <w:szCs w:val="24"/>
          <w:lang w:bidi="fa-IR"/>
        </w:rPr>
      </w:pPr>
      <w:r w:rsidRPr="00D75FA8">
        <w:rPr>
          <w:rStyle w:val="FootnoteReference"/>
          <w:sz w:val="24"/>
          <w:szCs w:val="24"/>
        </w:rPr>
        <w:footnoteRef/>
      </w:r>
      <w:r w:rsidRPr="00D75FA8">
        <w:rPr>
          <w:sz w:val="24"/>
          <w:szCs w:val="24"/>
        </w:rPr>
        <w:t xml:space="preserve"> </w:t>
      </w:r>
      <w:r w:rsidRPr="00D75FA8">
        <w:rPr>
          <w:rFonts w:hint="cs"/>
          <w:sz w:val="24"/>
          <w:szCs w:val="24"/>
          <w:rtl/>
          <w:lang w:bidi="fa-IR"/>
        </w:rPr>
        <w:t xml:space="preserve">. </w:t>
      </w:r>
      <w:r w:rsidR="00613431" w:rsidRPr="00D75FA8">
        <w:rPr>
          <w:sz w:val="24"/>
          <w:szCs w:val="24"/>
          <w:rtl/>
          <w:lang w:bidi="fa-IR"/>
        </w:rPr>
        <w:t>(تتمة</w:t>
      </w:r>
      <w:r w:rsidR="00D75FA8">
        <w:rPr>
          <w:rFonts w:hint="cs"/>
          <w:sz w:val="24"/>
          <w:szCs w:val="24"/>
          <w:rtl/>
          <w:lang w:bidi="fa-IR"/>
        </w:rPr>
        <w:t xml:space="preserve">) </w:t>
      </w:r>
      <w:r w:rsidR="00613431" w:rsidRPr="00D75FA8">
        <w:rPr>
          <w:sz w:val="24"/>
          <w:szCs w:val="24"/>
          <w:rtl/>
          <w:lang w:bidi="fa-IR"/>
        </w:rPr>
        <w:t>قد عرفت اختلاف حال القيود في الرجوع إلى الهيئة أو المادة بحسب نفس الأمر، فان علم واحد من الأمرين يعمل على طبقه و اما إذا دار الأمر بين رجوعه إلى الهيئة أو المادة فمع اتصاله بالكلام لا إشكال في صيرورة الكلام مجملا مع عدم وجود ظهور لغوي، أو انصراف أو قرينة يعين المراد، (و اما مع انفصاله) فربما يقال كما عن المحقق صاحب الحاشية من ان الرجوع إلى الهيئة مستلزم لرجوعه إلى المادة دون العكس، فدار الأمر بين تقييد و تقييدين، و (فيه) ان اختلاف حال القيود بحسب نفس الأمر بحيث</w:t>
      </w:r>
      <w:r w:rsidR="00D75FA8">
        <w:rPr>
          <w:sz w:val="24"/>
          <w:szCs w:val="24"/>
          <w:rtl/>
          <w:lang w:bidi="fa-IR"/>
        </w:rPr>
        <w:t xml:space="preserve"> لا يرجع أحدهما إلى الآخر أصلا </w:t>
      </w:r>
      <w:r w:rsidR="00613431" w:rsidRPr="00D75FA8">
        <w:rPr>
          <w:sz w:val="24"/>
          <w:szCs w:val="24"/>
          <w:rtl/>
          <w:lang w:bidi="fa-IR"/>
        </w:rPr>
        <w:t>يوجب ضعف ما زعم من الملازمة</w:t>
      </w:r>
      <w:r w:rsidR="00613431" w:rsidRPr="00D75FA8">
        <w:rPr>
          <w:rFonts w:hint="cs"/>
          <w:sz w:val="24"/>
          <w:szCs w:val="24"/>
          <w:rtl/>
          <w:lang w:bidi="fa-IR"/>
        </w:rPr>
        <w:t xml:space="preserve">. </w:t>
      </w:r>
      <w:r w:rsidR="00613431" w:rsidRPr="00D75FA8">
        <w:rPr>
          <w:sz w:val="24"/>
          <w:szCs w:val="24"/>
          <w:rtl/>
          <w:lang w:bidi="fa-IR"/>
        </w:rPr>
        <w:t>تهذيب الأصول، ج‏1، ص: 186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118"/>
    <w:rsid w:val="00005568"/>
    <w:rsid w:val="0004727D"/>
    <w:rsid w:val="000503F9"/>
    <w:rsid w:val="000B6BC9"/>
    <w:rsid w:val="0011258B"/>
    <w:rsid w:val="00152A45"/>
    <w:rsid w:val="001F6BDA"/>
    <w:rsid w:val="002030D8"/>
    <w:rsid w:val="00262762"/>
    <w:rsid w:val="0030105D"/>
    <w:rsid w:val="0031306C"/>
    <w:rsid w:val="00321D58"/>
    <w:rsid w:val="00370C3A"/>
    <w:rsid w:val="003833B5"/>
    <w:rsid w:val="003B228E"/>
    <w:rsid w:val="003C016B"/>
    <w:rsid w:val="00402BA5"/>
    <w:rsid w:val="004D22DA"/>
    <w:rsid w:val="005526C1"/>
    <w:rsid w:val="00593D65"/>
    <w:rsid w:val="005D6D29"/>
    <w:rsid w:val="005F5ACF"/>
    <w:rsid w:val="00613431"/>
    <w:rsid w:val="00672CD4"/>
    <w:rsid w:val="00696725"/>
    <w:rsid w:val="006A4C8A"/>
    <w:rsid w:val="006D1D82"/>
    <w:rsid w:val="006E747E"/>
    <w:rsid w:val="00782CF5"/>
    <w:rsid w:val="0089789C"/>
    <w:rsid w:val="008C4F52"/>
    <w:rsid w:val="00B330B7"/>
    <w:rsid w:val="00B42793"/>
    <w:rsid w:val="00C650B8"/>
    <w:rsid w:val="00CA0A96"/>
    <w:rsid w:val="00CD4E98"/>
    <w:rsid w:val="00CE1988"/>
    <w:rsid w:val="00CE5127"/>
    <w:rsid w:val="00D36724"/>
    <w:rsid w:val="00D75FA8"/>
    <w:rsid w:val="00DC1546"/>
    <w:rsid w:val="00E02118"/>
    <w:rsid w:val="00EA5B69"/>
    <w:rsid w:val="00F873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1306C"/>
    <w:rPr>
      <w:sz w:val="20"/>
      <w:szCs w:val="20"/>
    </w:rPr>
  </w:style>
  <w:style w:type="character" w:customStyle="1" w:styleId="FootnoteTextChar">
    <w:name w:val="Footnote Text Char"/>
    <w:basedOn w:val="DefaultParagraphFont"/>
    <w:link w:val="FootnoteText"/>
    <w:uiPriority w:val="99"/>
    <w:semiHidden/>
    <w:rsid w:val="0031306C"/>
    <w:rPr>
      <w:sz w:val="20"/>
      <w:szCs w:val="20"/>
    </w:rPr>
  </w:style>
  <w:style w:type="character" w:styleId="FootnoteReference">
    <w:name w:val="footnote reference"/>
    <w:basedOn w:val="DefaultParagraphFont"/>
    <w:uiPriority w:val="99"/>
    <w:semiHidden/>
    <w:unhideWhenUsed/>
    <w:rsid w:val="003130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1306C"/>
    <w:rPr>
      <w:sz w:val="20"/>
      <w:szCs w:val="20"/>
    </w:rPr>
  </w:style>
  <w:style w:type="character" w:customStyle="1" w:styleId="FootnoteTextChar">
    <w:name w:val="Footnote Text Char"/>
    <w:basedOn w:val="DefaultParagraphFont"/>
    <w:link w:val="FootnoteText"/>
    <w:uiPriority w:val="99"/>
    <w:semiHidden/>
    <w:rsid w:val="0031306C"/>
    <w:rPr>
      <w:sz w:val="20"/>
      <w:szCs w:val="20"/>
    </w:rPr>
  </w:style>
  <w:style w:type="character" w:styleId="FootnoteReference">
    <w:name w:val="footnote reference"/>
    <w:basedOn w:val="DefaultParagraphFont"/>
    <w:uiPriority w:val="99"/>
    <w:semiHidden/>
    <w:unhideWhenUsed/>
    <w:rsid w:val="003130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3</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40</cp:revision>
  <dcterms:created xsi:type="dcterms:W3CDTF">2019-11-23T04:04:00Z</dcterms:created>
  <dcterms:modified xsi:type="dcterms:W3CDTF">2019-11-24T05:22:00Z</dcterms:modified>
</cp:coreProperties>
</file>